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2.xml" ContentType="application/vnd.openxmlformats-officedocument.wordprocessingml.footer+xml"/>
  <Override PartName="/word/header1.xml" ContentType="application/vnd.openxmlformats-officedocument.wordprocessingml.head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tbl>
      <w:tblPr>
        <w:tblStyle w:val="TableGrid"/>
        <w:tblW w:w="1516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>
        <w:trPr/>
        <w:tc>
          <w:tcPr>
            <w:tcW w:type="dxa" w:w="3377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APPROVED by</w:t>
            </w:r>
          </w:p>
        </w:tc>
        <w:tc>
          <w:tcPr>
            <w:tcW w:type="dxa" w:w="8402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819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PATVIRTINTA</w:t>
            </w:r>
          </w:p>
        </w:tc>
        <w:tc>
          <w:tcPr>
            <w:tcW w:type="dxa" w:w="56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>
        <w:trPr/>
        <w:tc>
          <w:tcPr>
            <w:tcW w:type="dxa" w:w="3377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20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24</w:t>
            </w:r>
          </w:p>
        </w:tc>
        <w:tc>
          <w:tcPr>
            <w:tcW w:type="dxa" w:w="8402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819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20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24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m.</w:t>
            </w:r>
          </w:p>
        </w:tc>
        <w:tc>
          <w:tcPr>
            <w:tcW w:type="dxa" w:w="56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>
        <w:trPr/>
        <w:tc>
          <w:tcPr>
            <w:tcW w:type="dxa" w:w="3377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07-17 d.</w:t>
            </w:r>
          </w:p>
        </w:tc>
        <w:tc>
          <w:tcPr>
            <w:tcW w:type="dxa" w:w="8402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819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07-17 d.</w:t>
            </w:r>
          </w:p>
        </w:tc>
        <w:tc>
          <w:tcPr>
            <w:tcW w:type="dxa" w:w="56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>
        <w:trPr/>
        <w:tc>
          <w:tcPr>
            <w:tcW w:type="dxa" w:w="3377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Transmission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grid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department</w:t>
            </w:r>
          </w:p>
        </w:tc>
        <w:tc>
          <w:tcPr>
            <w:tcW w:type="dxa" w:w="8402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384"/>
            <w:gridSpan w:val="2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Perdavimo tinklo departamento</w:t>
            </w:r>
          </w:p>
        </w:tc>
      </w:tr>
      <w:tr>
        <w:trPr/>
        <w:tc>
          <w:tcPr>
            <w:tcW w:type="dxa" w:w="3377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head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direction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No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.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24NU-344</w:t>
            </w:r>
          </w:p>
        </w:tc>
        <w:tc>
          <w:tcPr>
            <w:tcW w:type="dxa" w:w="8402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384"/>
            <w:gridSpan w:val="2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vadovo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nurodymu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24NU-344</w:t>
            </w:r>
          </w:p>
        </w:tc>
      </w:tr>
    </w:tbl>
    <w:p w14:paraId="0EFA2A6B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2586CADF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1AD47718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5990C94B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STANDARTINIAI TECHNINIAI REIKALAVIMAI LAUKO IR VIDAUS SPINTŲ VIDINIO MONTAŽO LAIDAMS /</w:t>
      </w:r>
    </w:p>
    <w:p w14:paraId="22872BF9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STANDARD TECHNICAL REQUIREMENTS FOR INDOOR &amp; OUTDOOR CABINETS INTERNAL INSTALATION WIRING LEADS </w:t>
      </w:r>
    </w:p>
    <w:p w14:paraId="5600D5E8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51F980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2CB2367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>
        <w:trPr>
          <w:cantSplit/>
          <w:tblHeader/>
        </w:trPr>
        <w:tc>
          <w:tcPr>
            <w:tcW w:type="dxa" w:w="846"/>
            <w:vMerge w:val="restart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Eil. Nr./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Seq. No.</w:t>
            </w:r>
          </w:p>
        </w:tc>
        <w:tc>
          <w:tcPr>
            <w:tcW w:type="dxa" w:w="3546"/>
            <w:vMerge w:val="restart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Įrenginio, įrangos, gaminio ar medžiagos reikalaujamas parametras, funkcija, išpildymas ar savybė/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product or material required parameter, function, implementation or feature</w:t>
            </w:r>
          </w:p>
        </w:tc>
        <w:tc>
          <w:tcPr>
            <w:tcW w:type="dxa" w:w="3687"/>
            <w:vMerge w:val="restart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Kiekis (mato vnt.), reikalaujama parametro (mato vnt.) ar 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implementation or feature</w:t>
            </w:r>
          </w:p>
        </w:tc>
        <w:tc>
          <w:tcPr>
            <w:tcW w:type="dxa" w:w="7084"/>
            <w:gridSpan w:val="3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Siūlomo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product or material</w:t>
            </w:r>
          </w:p>
        </w:tc>
      </w:tr>
      <w:tr>
        <w:trPr>
          <w:cantSplit/>
          <w:tblHeader/>
        </w:trPr>
        <w:tc>
          <w:tcPr>
            <w:tcW w:type="dxa" w:w="846"/>
            <w:vMerge w:val="continue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546"/>
            <w:vMerge w:val="continue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687"/>
            <w:vMerge w:val="continue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687"/>
            <w:vMerge w:val="restart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(mato vnt.)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 xml:space="preserve">Parameter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implementation or feature confirming the compliance</w:t>
            </w:r>
          </w:p>
        </w:tc>
        <w:tc>
          <w:tcPr>
            <w:tcW w:type="dxa" w:w="3397"/>
            <w:gridSpan w:val="2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 xml:space="preserve">Link to Supplier’s proposal documents</w:t>
            </w:r>
          </w:p>
        </w:tc>
      </w:tr>
      <w:tr>
        <w:trPr>
          <w:cantSplit/>
          <w:tblHeader/>
        </w:trPr>
        <w:tc>
          <w:tcPr>
            <w:tcW w:type="dxa" w:w="846"/>
            <w:vMerge w:val="continue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546"/>
            <w:vMerge w:val="continue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687"/>
            <w:vMerge w:val="continue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687"/>
            <w:vMerge w:val="continue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 xml:space="preserve">Annex name or No.</w:t>
            </w:r>
          </w:p>
        </w:tc>
        <w:tc>
          <w:tcPr>
            <w:tcW w:type="dxa" w:w="991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Psl. Nr./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Pg. No</w:t>
            </w:r>
          </w:p>
        </w:tc>
      </w:tr>
      <w:tr>
        <w:trPr>
          <w:cantSplit/>
        </w:trPr>
        <w:tc>
          <w:tcPr>
            <w:tcW w:type="dxa" w:w="846"/>
            <w:vMerge w:val="restart"/>
            <w:tcBorders/>
            <w:vAlign w:val="center"/>
          </w:tcPr>
          <w:p>
            <w:pPr>
              <w:pStyle w:val="ListParagraph"/>
              <w:numPr>
                <w:ilvl w:val="0"/>
                <w:numId w:val="10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vMerge w:val="restart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Lauko ir vidaus spintų vidinio montažo laidas/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Indoor  &amp; outdoor cabinets internal installation wiring lead</w:t>
            </w:r>
          </w:p>
        </w:tc>
        <w:tc>
          <w:tcPr>
            <w:tcW w:type="dxa" w:w="3687"/>
            <w:vMerge w:val="restart"/>
            <w:tcBorders/>
            <w:vAlign w:val="center"/>
          </w:tcPr>
          <w:p>
            <w:pPr>
              <w:pStyle w:val="Default"/>
              <w: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Laido tipo žymėjimas pagal gamintojo katalogą/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Lead type marking according to the manufacturer‘s catalog: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type="dxa" w:w="3397"/>
            <w:gridSpan w:val="2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vMerge w:val="continue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type="dxa" w:w="3687"/>
            <w:vMerge w:val="continue"/>
            <w:tcBorders/>
            <w:vAlign w:val="center"/>
          </w:tcPr>
          <w:p>
            <w:pPr>
              <w:pStyle w:val="Default"/>
              <w: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Gamintojas/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Manufacturer</w:t>
            </w:r>
          </w:p>
        </w:tc>
        <w:tc>
          <w:tcPr>
            <w:tcW w:type="dxa" w:w="3397"/>
            <w:gridSpan w:val="2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vMerge w:val="continue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type="dxa" w:w="3687"/>
            <w:vMerge w:val="continue"/>
            <w:tcBorders/>
            <w:vAlign w:val="center"/>
          </w:tcPr>
          <w:p>
            <w:pPr>
              <w:pStyle w:val="Default"/>
              <w: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Pagaminimo šalis/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Country of production</w:t>
            </w:r>
          </w:p>
        </w:tc>
        <w:tc>
          <w:tcPr>
            <w:tcW w:type="dxa" w:w="3397"/>
            <w:gridSpan w:val="2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0"/>
                <w:numId w:val="10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5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Standards: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0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Vidinio montažo laido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gamintojo kokybės vadybos sistema turi būti įvertinta sertifikatu/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Internal installation wiring lead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manufacturer‘s quality management system shall be evaluated by certificate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EN ISO 9001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b)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0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Vidinio montažo laido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gamintojo aplinkos vadybos sistema turi būti įvertinta se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tifikatu/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nternal installation wiring lead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manufacturer‘s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environmental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management system shall be evaluated by certificate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EN ISO 14001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b)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0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Vidinio montažo 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aida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turi būti pagamintas pagal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vieną iš nurodytų standartų/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nternal installation wiring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Lead 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must be manufactured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according to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one of the following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standards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EN 50525-2-31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 xml:space="preserve">LST EN </w:t>
            </w:r>
            <w:r>
              <w:rPr>
                <w:rFonts w:ascii="Arial" w:hAnsi="Arial" w:cs="Arial"/>
                <w:sz w:val="18"/>
                <w:szCs w:val="18"/>
              </w:rPr>
              <w:t xml:space="preserve">50525-3-31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 xml:space="preserve">DIN VDE 0281-3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0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Vidinio montažo laido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degumo klasė ne mažesnė kaip (pagal EN 13501-6)/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nternal installation wiring lead 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shall be not less than (according to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EN 13501-6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E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ca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0"/>
                <w:numId w:val="10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5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Ambient conditions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0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</w:p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Patalpoje ir </w:t>
            </w:r>
            <w:r>
              <w:rPr>
                <w:rFonts w:ascii="Arial" w:hAnsi="Arial" w:cs="Arial"/>
                <w:sz w:val="18"/>
                <w:szCs w:val="18"/>
              </w:rPr>
              <w:t xml:space="preserve">lauke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Indoors and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outdoor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0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Maksimali leistina ilgalaikio darbo (eksploatavimo aplinkos) temperatūra ne žemesnė kaip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operating ambient temperature shall be not less than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</w:t>
            </w:r>
          </w:p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+70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0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eksploatavimo aplinkos temperatūra turi būti ne aukštesnė kaip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Lowest operating ambient temperature shall be not higher than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-30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0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Leistina instaliavimo temperatūra ne aukštesnė kaip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Permissible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nstallation temperature shall be not higher than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+</w:t>
            </w:r>
            <w:r>
              <w:rPr>
                <w:rFonts w:ascii="Arial" w:hAnsi="Arial" w:cs="Arial"/>
                <w:sz w:val="18"/>
                <w:szCs w:val="18"/>
              </w:rPr>
              <w:t xml:space="preserve">5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0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Leistina laidininko temperatūra trumpo jungimo metu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(kai trumpo jungimo trukmė iki 5s) turi būti ne žemesnė kaip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Permissible short circuit temperature (when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short circuit duration up to 5 sec</w:t>
            </w:r>
            <w:r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) of the conductor shall be not less than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  <w:r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+160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0"/>
                <w:numId w:val="10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5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Main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characteristics and construction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0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įtampa U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 xml:space="preserve"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/U 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 xml:space="preserve">Nominal voltage U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pt-PT"/>
              </w:rPr>
              <w:t xml:space="preserve"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 xml:space="preserve">/U, V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≥ 300/500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0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Test voltage, V D.C.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≥ 500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0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laido lenkimo spindulys turi būti ne mažesnis kaip 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Minimum lead bending radius shall be not less than, mm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>
              <w:rPr>
                <w:rFonts w:ascii="Arial" w:hAnsi="Arial" w:cs="Arial"/>
                <w:sz w:val="18"/>
                <w:szCs w:val="18"/>
              </w:rPr>
              <w:t xml:space="preserve">Dx8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0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izoliacija 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Conductor’s insulation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>
              <w:rPr>
                <w:rFonts w:ascii="Arial" w:hAnsi="Arial" w:cs="Arial"/>
                <w:sz w:val="18"/>
                <w:szCs w:val="18"/>
              </w:rPr>
              <w:t xml:space="preserve">arba halogenų neturintis </w:t>
            </w:r>
            <w:r>
              <w:rPr>
                <w:rFonts w:ascii="Arial" w:hAnsi="Arial" w:cs="Arial"/>
                <w:sz w:val="18"/>
                <w:szCs w:val="18"/>
              </w:rPr>
              <w:t xml:space="preserve">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2)</w:t>
            </w:r>
            <w:r>
              <w:rPr>
                <w:rFonts w:ascii="Arial" w:hAnsi="Arial" w:cs="Arial"/>
                <w:sz w:val="18"/>
                <w:szCs w:val="18"/>
              </w:rPr>
              <w:t xml:space="preserve">,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0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5"/>
            <w:tcBorders/>
            <w:vAlign w:val="center"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tipai (reikalavimas netaikomas pagrindinės įrangos gamintojų lauko spintoms)/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Conductor‘s types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(this requirement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does not apply to primary equipment manufacturers outdoor cabinets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)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10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Lauko spintų vidinio montažo laidams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For Outdoor cabinets wiring leads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Monolitinė apvali atkaitinto vario gysla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arba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anksti, daugiavielė suvytų atkaitintų varinių vijų gysla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Single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round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annealed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copper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wire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flexible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multi-stranded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twisted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annealed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copper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conductor</w:t>
            </w:r>
          </w:p>
          <w:p>
            <w:pPr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≥ </w:t>
            </w:r>
            <w:r>
              <w:rPr>
                <w:rFonts w:ascii="Arial" w:hAnsi="Arial" w:cs="Arial"/>
                <w:sz w:val="18"/>
                <w:szCs w:val="18"/>
              </w:rPr>
              <w:t xml:space="preserve">1,0 mm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10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Vidaus spintų vidinio montažo laidams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indoor cabinets wiring leads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</w:p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Lanksti, daugiavielė suvytų atkaitintų varinių vijų gysla/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Annealed cooper wires, stranded flexible</w:t>
            </w:r>
          </w:p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≥ </w:t>
            </w:r>
            <w:r>
              <w:rPr>
                <w:rFonts w:ascii="Arial" w:hAnsi="Arial" w:cs="Arial"/>
                <w:sz w:val="18"/>
                <w:szCs w:val="18"/>
              </w:rPr>
              <w:t xml:space="preserve">1,0 mm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15163"/>
            <w:gridSpan w:val="6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bookmarkStart w:id="2" w:name="_Hlk80360082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Pastabos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:/ Notes:</w:t>
            </w:r>
          </w:p>
          <w:p>
            <w:pPr>
              <w:spacing/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Gamintojas gali vadovautis standartais ir sertifikatais lygiaverčiais šiuose reikalavimuose nurodytiems IEC standartams ir ISO sertifikatams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/ The manufacturer may follow the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standards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certificates equivalent to IEC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standards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ISO certificates specified in these requirements</w:t>
            </w:r>
          </w:p>
          <w:p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Techniniame projekte dydžių reikšmės gali būti koreguojamos, tačiau tik griežtinant reikalavimus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Values can be adjusted in a process of a design but only to more severe conditions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.</w:t>
            </w:r>
          </w:p>
          <w:p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Halogenų neturintis, tinklinis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izoliacijos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mišinys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angl.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Halogen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cross-linked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ins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u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lating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compound);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Halogenų neturintis,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termoplastinis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izoliacijos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mišinys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angl.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Halogen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thermoplastic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ins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u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lating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compound)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.</w:t>
            </w:r>
          </w:p>
          <w:p>
            <w:pPr>
              <w:pStyle w:val="ListParagraph"/>
              <w:spacing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>
            <w:pPr>
              <w:spacing/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Rangovo teikiama dokumentacija reikalaujamo parametro atitikimo pagrindimui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:/ Documentation provided by contractor to justify required parameter of the equipment:</w:t>
            </w:r>
          </w:p>
          <w:p>
            <w:pPr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Įrenginio gamintojo katalogo ir/ar techninių parametrų suvestinės, ir/ar brėžinio kopija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Copy of the equipment’s manufacturer catalogue and/or summary of technical parameters, and/or drawing of the equipment;</w:t>
            </w:r>
          </w:p>
          <w:p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Atitikties sertifikato, išduoto licencijuotos nepriklausomos įstaigos, kopija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Copy of the conformity certificate issued by notified conformity assessment independent body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</w:t>
            </w:r>
          </w:p>
          <w:p>
            <w:pPr>
              <w:spacing/>
              <w:ind w:left="425"/>
              <w:rPr>
                <w:rFonts w:ascii="Trebuchet MS" w:hAnsi="Trebuchet MS"/>
                <w:sz w:val="18"/>
                <w:szCs w:val="18"/>
              </w:rPr>
            </w:pPr>
          </w:p>
        </w:tc>
      </w:tr>
      <w:bookmarkEnd w:id="2"/>
    </w:tbl>
    <w:p w14:paraId="213478D3">
      <w:pPr>
        <w:spacing/>
        <w:rPr>
          <w:sz w:val="18"/>
          <w:szCs w:val="18"/>
        </w:rPr>
      </w:pPr>
    </w:p>
    <w:p w14:paraId="31BE2BF3">
      <w:pPr>
        <w:spacing/>
        <w:rPr>
          <w:sz w:val="18"/>
          <w:szCs w:val="18"/>
        </w:rPr>
      </w:pPr>
    </w:p>
    <w:p w14:paraId="53AAF841">
      <w:pPr>
        <w:spacing/>
        <w:rPr>
          <w:sz w:val="18"/>
          <w:szCs w:val="18"/>
        </w:rPr>
      </w:pPr>
    </w:p>
    <w:p w14:paraId="3E2EB108">
      <w:pPr>
        <w:spacing/>
        <w:rPr>
          <w:sz w:val="18"/>
          <w:szCs w:val="18"/>
        </w:rPr>
      </w:pPr>
    </w:p>
    <w:p w14:paraId="5C5C88D9">
      <w:pPr>
        <w:spacing/>
        <w:jc w:val="center"/>
        <w:rPr>
          <w:sz w:val="18"/>
          <w:szCs w:val="18"/>
        </w:rPr>
      </w:pPr>
    </w:p>
    <w:sectPr>
      <w:headerReference w:type="default" r:id="rId1"/>
      <w:footerReference w:type="default" r:id="rId2"/>
      <w:type w:val="nextPage"/>
      <w:pgSz w:w="16838" w:h="11906"/>
      <w:pgMar w:top="567" w:right="1701" w:bottom="567" w:left="1134" w:header="0" w:footer="0" w:gutter="0"/>
      <w:pgBorders/>
      <w:pgNumType w:fmt="decimal"/>
      <w:cols w:num="1" w:equalWidth="1"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charset w:val="0"/>
    <w:family w:val="roman"/>
    <w:pitch w:val="variable"/>
    <w:sig w:usb0="E0002EFF" w:usb1="C000785B" w:usb2="00000009" w:usb3="00000000" w:csb0="000001FF" w:csb1="00000000"/>
  </w:font>
  <w:font w:name="Symbol">
    <w:charset w:val="2"/>
    <w:family w:val="roman"/>
    <w:pitch w:val="variable"/>
    <w:sig w:usb0="00000000" w:usb1="10000000" w:usb2="00000000" w:usb3="00000000" w:csb0="80000000" w:csb1="00000000"/>
  </w:font>
  <w:font w:name="Arial">
    <w:charset w:val="0"/>
    <w:family w:val="swiss"/>
    <w:pitch w:val="variable"/>
    <w:sig w:usb0="E0002EFF" w:usb1="C000785B" w:usb2="00000009" w:usb3="00000000" w:csb0="000001FF" w:csb1="00000000"/>
  </w:font>
  <w:font w:name="Courier New">
    <w:charset w:val="0"/>
    <w:family w:val="modern"/>
    <w:pitch w:val="fixed"/>
    <w:sig w:usb0="E0002EFF" w:usb1="C0007843" w:usb2="00000009" w:usb3="00000000" w:csb0="000001FF" w:csb1="00000000"/>
  </w:font>
  <w:font w:name="Wingdings">
    <w:charset w:val="2"/>
    <w:family w:val="auto"/>
    <w:pitch w:val="variable"/>
    <w:sig w:usb0="00000000" w:usb1="10000000" w:usb2="00000000" w:usb3="00000000" w:csb0="80000000" w:csb1="00000000"/>
  </w:font>
  <w:font w:name="Calibri">
    <w:charset w:val="0"/>
    <w:family w:val="swiss"/>
    <w:pitch w:val="variable"/>
    <w:sig w:usb0="E4002EFF" w:usb1="C200247B" w:usb2="00000009" w:usb3="00000000" w:csb0="000001FF" w:csb1="00000000"/>
  </w:font>
  <w:font w:name="Trebuchet MS">
    <w:charset w:val="0"/>
    <w:family w:val="swiss"/>
    <w:pitch w:val="variable"/>
    <w:sig w:usb0="00000687" w:usb1="00000000" w:usb2="00000000" w:usb3="00000000" w:csb0="0000009F" w:csb1="00000000"/>
  </w:font>
  <w:font w:name="Calibri Light">
    <w:charset w:val="0"/>
    <w:family w:val="swiss"/>
    <w:pitch w:val="variable"/>
    <w:sig w:usb0="E4002EFF" w:usb1="C200247B" w:usb2="00000009" w:usb3="00000000" w:csb0="000001FF" w:csb1="00000000"/>
  </w:font>
</w:fonts>
</file>

<file path=word/footer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56853625">
        <w:pPr>
          <w:spacing w:after="0"/>
          <w:textAlignment w:val="top"/>
          <w:rPr>
            <w:rFonts w:ascii="Arial" w:hAnsi="Arial" w:cs="Arial"/>
            <w:bCs/>
            <w:sz w:val="18"/>
            <w:szCs w:val="18"/>
          </w:rPr>
        </w:pPr>
        <w:r>
          <w:rPr>
            <w:rFonts w:ascii="Arial" w:hAnsi="Arial" w:cs="Arial"/>
            <w:bCs/>
            <w:sz w:val="18"/>
            <w:szCs w:val="18"/>
          </w:rPr>
          <w:t xml:space="preserve">STANDARTINIAI TECHNINIAI REIKALAVIMAI LAUKO IR VIDAUS SPINTŲ VIDINIO MONTAŽO LAIDAMS /</w:t>
        </w:r>
      </w:p>
      <w:p w14:paraId="2EEAEE04">
        <w:pPr>
          <w:spacing w:after="0" w:line="240" w:lineRule="auto"/>
          <w:textAlignment w:val="top"/>
          <w:rPr>
            <w:rFonts w:ascii="Trebuchet MS" w:hAnsi="Trebuchet MS"/>
            <w:bCs/>
            <w:sz w:val="18"/>
            <w:szCs w:val="18"/>
          </w:rPr>
        </w:pPr>
        <w:r>
          <w:rPr>
            <w:rFonts w:ascii="Arial" w:hAnsi="Arial" w:cs="Arial"/>
            <w:bCs/>
            <w:sz w:val="18"/>
            <w:szCs w:val="18"/>
            <w:lang w:val="en-US"/>
          </w:rPr>
          <w:t xml:space="preserve">STANDARD TECHNICAL REQUIREMENTS FOR INDOOR &amp; OUTDOOR CABINETS INTERNAL INSTALATION WIRING LEADS</w:t>
        </w:r>
        <w:r>
          <w:rPr>
            <w:rFonts w:ascii="Trebuchet MS" w:hAnsi="Trebuchet MS"/>
            <w:bCs/>
            <w:sz w:val="18"/>
            <w:szCs w:val="18"/>
          </w:rPr>
          <w:t xml:space="preserve"> </w:t>
        </w:r>
      </w:p>
      <w:p w14:paraId="451145BB">
        <w:pPr>
          <w:spacing w:after="0" w:line="240" w:lineRule="auto"/>
          <w:jc w:val="center"/>
          <w:textAlignment w:val="top"/>
          <w:rPr>
            <w:rFonts w:ascii="Trebuchet MS" w:hAnsi="Trebuchet MS"/>
            <w:sz w:val="18"/>
            <w:szCs w:val="18"/>
          </w:rPr>
        </w:pPr>
        <w:r>
          <w:rPr>
            <w:rFonts w:ascii="Trebuchet MS" w:hAnsi="Trebuchet MS"/>
            <w:sz w:val="18"/>
            <w:szCs w:val="18"/>
          </w:rPr>
          <w:fldChar w:fldCharType="begin"/>
        </w:r>
        <w:r>
          <w:rPr>
            <w:rFonts w:ascii="Trebuchet MS" w:hAnsi="Trebuchet MS"/>
            <w:sz w:val="18"/>
            <w:szCs w:val="18"/>
          </w:rPr>
          <w:instrText xml:space="preserve">PAGE   \* MERGEFORMAT</w:instrText>
        </w:r>
        <w:r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 xml:space="preserve">3</w:t>
        </w:r>
        <w:r>
          <w:rPr>
            <w:rFonts w:ascii="Trebuchet MS" w:hAnsi="Trebuchet MS"/>
            <w:sz w:val="18"/>
            <w:szCs w:val="18"/>
          </w:rPr>
          <w:fldChar w:fldCharType="end"/>
        </w:r>
        <w:r>
          <w:rPr>
            <w:rFonts w:ascii="Trebuchet MS" w:hAnsi="Trebuchet MS"/>
            <w:sz w:val="18"/>
            <w:szCs w:val="18"/>
          </w:rPr>
          <w:t xml:space="preserve"> / </w:t>
        </w:r>
        <w:r>
          <w:rPr>
            <w:rFonts w:ascii="Trebuchet MS" w:hAnsi="Trebuchet MS"/>
            <w:sz w:val="18"/>
            <w:szCs w:val="18"/>
          </w:rPr>
          <w:t xml:space="preserve">3</w:t>
        </w:r>
      </w:p>
    </w:sdtContent>
  </w:sdt>
  <w:p w14:paraId="75814DB0">
    <w:pPr>
      <w:pStyle w:val="Footer"/>
      <w:spacing/>
      <w:rPr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 w14:paraId="0DF22BED">
    <w:pPr>
      <w:pStyle w:val="Header"/>
      <w:tabs>
        <w:tab w:val="clear" w:pos="4819"/>
        <w:tab w:val="clear" w:pos="9638"/>
        <w:tab w:val="left" w:pos="8977"/>
      </w:tabs>
      <w:spacing/>
      <w:rPr/>
    </w:pPr>
    <w:r>
      <w:rPr/>
      <w:tab/>
      <w:t xml:space="preserv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864DD"/>
    <w:lvl w:ilvl="0">
      <w:start w:val="1"/>
      <w:numFmt w:val="lowerLetter"/>
      <w:suff w:val="tab"/>
      <w:lvlText w:val="%1)"/>
      <w:pPr>
        <w:spacing/>
        <w:ind w:left="720" w:hanging="360"/>
      </w:pPr>
      <w:rPr/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">
    <w:nsid w:val="24505936"/>
    <w:lvl w:ilvl="0">
      <w:start w:val="1"/>
      <w:numFmt w:val="decimal"/>
      <w:suff w:val="tab"/>
      <w:lvlText w:val="%1)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2">
    <w:nsid w:val="34C40AD8"/>
    <w:lvl w:ilvl="0">
      <w:start w:val="1"/>
      <w:numFmt w:val="decimal"/>
      <w:suff w:val="tab"/>
      <w:lvlText w:val="1.%1"/>
      <w:lvlJc w:val="right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3">
    <w:nsid w:val="3C23581B"/>
    <w:lvl w:ilvl="0">
      <w:start w:val="1"/>
      <w:numFmt w:val="decimal"/>
      <w:suff w:val="tab"/>
      <w:lvlText w:val="%1)"/>
      <w:pPr>
        <w:spacing/>
        <w:ind w:left="720" w:hanging="360"/>
      </w:pPr>
      <w:rPr>
        <w:rFonts w:hint="default"/>
        <w:vertAlign w:val="superscrip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4">
    <w:nsid w:val="456337E3"/>
    <w:lvl w:ilvl="0">
      <w:start w:val="1"/>
      <w:numFmt w:val="decimal"/>
      <w:suff w:val="tab"/>
      <w:lvlText w:val="%1)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5">
    <w:nsid w:val="467C41CD"/>
    <w:lvl w:ilvl="0">
      <w:start w:val="1"/>
      <w:numFmt w:val="lowerLetter"/>
      <w:suff w:val="tab"/>
      <w:lvlText w:val="%1)"/>
      <w:pPr>
        <w:spacing/>
        <w:ind w:left="785" w:hanging="360"/>
      </w:pPr>
      <w:rPr>
        <w:rFonts w:hint="default"/>
        <w:sz w:val="16"/>
        <w:szCs w:val="16"/>
        <w:vertAlign w:val="baseline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6">
    <w:nsid w:val="4BF25932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7">
    <w:nsid w:val="5E6A57A6"/>
    <w:lvl w:ilvl="0">
      <w:start w:val="0"/>
      <w:numFmt w:val="bullet"/>
      <w:suff w:val="tab"/>
      <w:lvlText w:val=""/>
      <w:pPr>
        <w:spacing/>
        <w:ind w:left="720" w:hanging="360"/>
      </w:pPr>
      <w:rPr>
        <w:rFonts w:ascii="Symbol" w:hAnsi="Symbol" w:eastAsia="Times New Roman" w:cs="Aria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8">
    <w:nsid w:val="64026E9A"/>
    <w:lvl w:ilvl="0">
      <w:start w:val="1"/>
      <w:numFmt w:val="decimal"/>
      <w:suff w:val="tab"/>
      <w:lvlText w:val="%1)"/>
      <w:pPr>
        <w:spacing/>
        <w:ind w:left="644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9">
    <w:nsid w:val="7FE001E4"/>
    <w:lvl w:ilvl="0">
      <w:start w:val="1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suff w:val="tab"/>
      <w:lvlText w:val="%1.%2.%3."/>
      <w:pPr>
        <w:spacing/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suff w:val="tab"/>
      <w:lvlText w:val="%1.%2.%3.%4."/>
      <w:pPr>
        <w:spacing/>
        <w:ind w:left="1728" w:hanging="1728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2232" w:hanging="792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30"/>
  <w:proofState w:spelling="clean" w:grammar="dirty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lt-LT"/>
  <w:clrSchemeMapping xmlns:w="http://schemas.openxmlformats.org/wordprocessingml/2006/main" w:bg1="light1" w:t1="dark1" w:bg2="light2" w:t2="dark2" w:accent1="accent1" w:accent2="accent2" w:accent3="accent3" w:accent4="accent4" w:accent5="accent5" w:accent6="accent6" w:hyperlink="hyperlink" w:followedHyperlink="followedHyperlink"/>
  <w:decimalSymbol xmlns:w="http://schemas.openxmlformats.org/wordprocessingml/2006/main" w:val=","/>
  <w:listSeparator xmlns:w="http://schemas.openxmlformats.org/wordprocessingml/2006/main"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xmlns:w="http://schemas.openxmlformats.org/wordprocessingml/2006/main"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character" w:styleId="DefaultParagraphFont" w:default="1">
    <w:name w:val="Default Paragraph Font"/>
    <w:uiPriority w:val="1"/>
    <w:semiHidden/>
    <w:unhideWhenUsed/>
    <w:rPr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pPr>
      <w:spacing/>
      <w:ind w:left="720"/>
      <w:contextualSpacing/>
    </w:pPr>
    <w:rPr/>
  </w:style>
  <w:style w:type="character" w:styleId="hps" w:customStyle="1">
    <w:name w:val="hps"/>
    <w:basedOn w:val="DefaultParagraphFont"/>
    <w:rPr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/>
    </w:pPr>
    <w:rPr/>
  </w:style>
  <w:style w:type="character" w:styleId="HeaderChar" w:customStyle="1">
    <w:name w:val="Header Char"/>
    <w:basedOn w:val="DefaultParagraphFont"/>
    <w:link w:val="Header"/>
    <w:uiPriority w:val="99"/>
    <w:rPr>
      <w:rFonts w:ascii="Times New Roman" w:hAnsi="Times New Roman" w:eastAsia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/>
    </w:pPr>
    <w:rPr/>
  </w:style>
  <w:style w:type="character" w:styleId="FooterChar" w:customStyle="1">
    <w:name w:val="Footer Char"/>
    <w:basedOn w:val="DefaultParagraphFont"/>
    <w:link w:val="Footer"/>
    <w:uiPriority w:val="99"/>
    <w:rPr>
      <w:rFonts w:ascii="Times New Roman" w:hAnsi="Times New Roman" w:eastAsia="Times New Roman" w:cs="Times New Roman"/>
      <w:sz w:val="24"/>
      <w:szCs w:val="24"/>
      <w:lang w:eastAsia="lt-LT"/>
    </w:rPr>
  </w:style>
  <w:style w:type="character" w:styleId="shorttext" w:customStyle="1">
    <w:name w:val="short_text"/>
    <w:basedOn w:val="DefaultParagraphFont"/>
    <w:rPr/>
  </w:style>
  <w:style w:type="paragraph" w:styleId="Default" w:customStyle="1">
    <w:name w:val="Default"/>
    <w:pPr>
      <w:autoSpaceDE w:val="false"/>
      <w:autoSpaceDN w:val="false"/>
      <w:adjustRightInd w:val="false"/>
      <w:spacing w:after="0" w:line="240" w:lineRule="auto"/>
    </w:pPr>
    <w:rPr>
      <w:rFonts w:ascii="Symbol" w:hAnsi="Symbol" w:eastAsia="Times New Roman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pPr>
      <w:spacing w:after="0" w:line="240" w:lineRule="auto"/>
      <w:jc w:val="center"/>
    </w:pPr>
    <w:rPr>
      <w:sz w:val="28"/>
      <w:szCs w:val="20"/>
      <w:lang w:eastAsia="en-US"/>
    </w:rPr>
  </w:style>
  <w:style w:type="character" w:styleId="TitleChar" w:customStyle="1">
    <w:name w:val="Title Char"/>
    <w:basedOn w:val="DefaultParagraphFont"/>
    <w:link w:val="Title"/>
    <w:rPr>
      <w:rFonts w:ascii="Times New Roman" w:hAnsi="Times New Roman" w:eastAsia="Times New Roman" w:cs="Times New Roman"/>
      <w:sz w:val="28"/>
      <w:szCs w:val="20"/>
    </w:rPr>
  </w:style>
  <w:style w:type="character" w:styleId="CommentReference" w:customStyle="1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 w:customStyle="1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uiPriority w:val="99"/>
    <w:rPr>
      <w:rFonts w:ascii="Times New Roman" w:hAnsi="Times New Roman" w:eastAsia="Times New Roman" w:cs="Times New Roman"/>
      <w:sz w:val="20"/>
      <w:szCs w:val="20"/>
      <w:lang w:eastAsia="lt-LT"/>
    </w:rPr>
  </w:style>
  <w:style w:type="paragraph" w:styleId="CommentSubject" w:customStyle="1">
    <w:name w:val="annotation subject"/>
    <w:basedOn w:val="CommentText"/>
    <w:next w:val="CommentText"/>
    <w:link w:val="CommentSubjectChar"/>
    <w:uiPriority w:val="99"/>
    <w:semiHidden/>
    <w:unhideWhenUsed/>
    <w:pPr>
      <w:spacing/>
    </w:pPr>
    <w:rPr>
      <w:b/>
      <w:bCs/>
    </w:rPr>
  </w:style>
  <w:style w:type="character" w:styleId="CommentSubjectChar" w:customStyle="1">
    <w:name w:val="Comment Subject Char"/>
    <w:basedOn w:val="CommentTextChar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lt-LT"/>
    </w:rPr>
  </w:style>
  <w:style w:type="paragraph" w:styleId="Revision" w:customStyle="1">
    <w:name w:val="Revision"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lt-LT"/>
    </w:rPr>
  </w:style>
</w:styles>
</file>

<file path=word/_rels/document.xml.rels>&#65279;<?xml version="1.0" encoding="utf-8" standalone="yes"?><Relationships xmlns="http://schemas.openxmlformats.org/package/2006/relationships"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2" Type="http://schemas.openxmlformats.org/officeDocument/2006/relationships/footer" Target="footer2.xml" /><Relationship Id="rId1" Type="http://schemas.openxmlformats.org/officeDocument/2006/relationships/header" Target="header1.xml" /><Relationship Id="rId7" Type="http://schemas.openxmlformats.org/officeDocument/2006/relationships/fontTable" Target="fontTable.xml" /><Relationship Id="rId8" Type="http://schemas.openxmlformats.org/officeDocument/2006/relationships/customXml" Target="../customXml/item1.xml" /><Relationship Id="rId9" Type="http://schemas.openxmlformats.org/officeDocument/2006/relationships/customXml" Target="../customXml/item2.xml" /><Relationship Id="rId10" Type="http://schemas.openxmlformats.org/officeDocument/2006/relationships/customXml" Target="../customXml/item3.xml" /><Relationship Id="rId11" Type="http://schemas.openxmlformats.org/officeDocument/2006/relationships/customXml" Target="../customXml/item4.xml" /><Relationship Id="rId12" Type="http://schemas.openxmlformats.org/officeDocument/2006/relationships/customXml" Target="../customXml/item5.xml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 xmlns:a="http://schemas.openxmlformats.org/drawingml/2006/main"/>
  <a:extraClrSchemeLst xmlns:a="http://schemas.openxmlformats.org/drawingml/2006/main"/>
  <a:extLst xmlns:a="http://schemas.openxmlformats.org/drawingml/2006/main"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63E56B3B61A8E43B5EBCAF60F439B2A" ma:contentTypeVersion="1" ma:contentTypeDescription="" ma:contentTypeScope="" ma:versionID="d4a6445548a3dcbf8a1e9037e9b6407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028e38073c10afc6f4549e3d91e99a28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PVIS-975562914-118</_dlc_DocId>
    <_dlc_DocIdUrl xmlns="58896280-883f-49e1-8f2c-86b01e3ff616">
      <Url>https://projektai.intranet.litgrid.eu/PWA/LitPol Link 400 kV skirstyklos rekonstravimas didinant perdavimo tinklo atsparumą/_layouts/15/DocIdRedir.aspx?ID=PVIS-975562914-118</Url>
      <Description>PVIS-975562914-118</Description>
    </_dlc_DocIdUrl>
    <Lygiagretus xmlns="58896280-883f-49e1-8f2c-86b01e3ff616">
      <UserInfo>
        <DisplayName>
        </DisplayName>
        <AccountId xsi:nil="true">
        </AccountId>
        <AccountType/>
      </UserInfo>
    </Lygiagretus>
    <Nuoseklūs xmlns="58896280-883f-49e1-8f2c-86b01e3ff616">
      <UserInfo>
        <DisplayName>
        </DisplayName>
        <AccountId xsi:nil="true">
        </AccountId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B3F05F-4D13-44BD-BE15-52A73A5DF933}"/>
</file>

<file path=customXml/itemProps3.xml><?xml version="1.0" encoding="utf-8"?>
<ds:datastoreItem xmlns:ds="http://schemas.openxmlformats.org/officeDocument/2006/customXml" ds:itemID="{510EA044-DC1F-413D-A9E2-7ABD68DD8970}"/>
</file>

<file path=customXml/itemProps4.xml><?xml version="1.0" encoding="utf-8"?>
<ds:datastoreItem xmlns:ds="http://schemas.openxmlformats.org/officeDocument/2006/customXml" ds:itemID="{FB393198-CCCB-45CA-A6D6-23AA1C4C7769}"/>
</file>

<file path=customXml/itemProps5.xml><?xml version="1.0" encoding="utf-8"?>
<ds:datastoreItem xmlns:ds="http://schemas.openxmlformats.org/officeDocument/2006/customXml" ds:itemID="{7CFCFF51-2064-4AD4-B206-10347CF5613D}"/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80</TotalTime>
  <Pages>3</Pages>
  <Words>860</Words>
  <Characters>4906</Characters>
  <Application>Microsoft Office Word</Application>
  <DocSecurity>0</DocSecurity>
  <Lines>40</Lines>
  <Paragraphs>11</Paragraphs>
  <Company/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Vytenis Povilas Čironis</cp:lastModifiedBy>
  <cp:revision>8</cp:revision>
  <dcterms:created xsi:type="dcterms:W3CDTF">2023-01-31T07:10:00Z</dcterms:created>
  <dcterms:modified xsi:type="dcterms:W3CDTF">2024-07-19T13:12:00Z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name="MSIP_Label_7058e6ed-1f62-4b3b-a413-1541f2aa482f_Enabled" pid="2">
    <vt:lpstr>true</vt:lpstr>
  </property>
  <property fmtid="{D5CDD505-2E9C-101B-9397-08002B2CF9AE}" name="MSIP_Label_7058e6ed-1f62-4b3b-a413-1541f2aa482f_SetDate" pid="3">
    <vt:lpstr>2023-01-31T07:10:36Z</vt:lpstr>
  </property>
  <property fmtid="{D5CDD505-2E9C-101B-9397-08002B2CF9AE}" name="MSIP_Label_7058e6ed-1f62-4b3b-a413-1541f2aa482f_Method" pid="4">
    <vt:lpstr>Privileged</vt:lpstr>
  </property>
  <property fmtid="{D5CDD505-2E9C-101B-9397-08002B2CF9AE}" name="MSIP_Label_7058e6ed-1f62-4b3b-a413-1541f2aa482f_Name" pid="5">
    <vt:lpwstr>VIEŠA</vt:lpwstr>
  </property>
  <property fmtid="{D5CDD505-2E9C-101B-9397-08002B2CF9AE}" name="MSIP_Label_7058e6ed-1f62-4b3b-a413-1541f2aa482f_SiteId" pid="6">
    <vt:lpstr>86bcf768-7bcf-4cd6-b041-b219988b7a9c</vt:lpstr>
  </property>
  <property fmtid="{D5CDD505-2E9C-101B-9397-08002B2CF9AE}" name="MSIP_Label_7058e6ed-1f62-4b3b-a413-1541f2aa482f_ActionId" pid="7">
    <vt:lpstr>568831d7-2c7b-489f-ae41-f37c8c8a73de</vt:lpstr>
  </property>
  <property fmtid="{D5CDD505-2E9C-101B-9397-08002B2CF9AE}" name="MSIP_Label_7058e6ed-1f62-4b3b-a413-1541f2aa482f_ContentBits" pid="8">
    <vt:lpstr>0</vt:lpstr>
  </property>
  <property fmtid="{D5CDD505-2E9C-101B-9397-08002B2CF9AE}" name="ContentTypeId" pid="9">
    <vt:lpstr>0x01010066872F3CC8F7D84995438B893169A0800200663E56B3B61A8E43B5EBCAF60F439B2A</vt:lpstr>
  </property>
  <property fmtid="{D5CDD505-2E9C-101B-9397-08002B2CF9AE}" name="_dlc_DocIdItemGuid" pid="10">
    <vt:lpstr>7a0e11c9-c003-4e29-b1ec-739747a6e37f</vt:lpstr>
  </property>
</Properties>
</file>